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3044" w14:textId="14E28565" w:rsidR="00EC6CF2" w:rsidRDefault="00EC6CF2" w:rsidP="00EC6CF2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HB 462 Pertinent lines  2022</w:t>
      </w:r>
    </w:p>
    <w:p w14:paraId="7A89567C" w14:textId="77777777" w:rsidR="00EC6CF2" w:rsidRDefault="00EC6CF2" w:rsidP="00EC6CF2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4ED40337" w14:textId="7D427B83" w:rsidR="00EC6CF2" w:rsidRPr="00EC6CF2" w:rsidRDefault="00EC6CF2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Arial" w:eastAsia="Times New Roman" w:hAnsi="Arial" w:cs="Arial"/>
          <w:color w:val="000000"/>
          <w:shd w:val="clear" w:color="auto" w:fill="FFFFFF"/>
        </w:rPr>
        <w:t>608          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(3) (a) The general plan of a specified municipality, as defined in Section </w:t>
      </w:r>
      <w:hyperlink r:id="rId4" w:anchor="10-9a-408" w:history="1">
        <w:r w:rsidRPr="00EC6CF2">
          <w:rPr>
            <w:rFonts w:ascii="Arial" w:eastAsia="Times New Roman" w:hAnsi="Arial" w:cs="Arial"/>
            <w:color w:val="184477"/>
            <w:u w:val="single"/>
          </w:rPr>
          <w:t>10-9a-408</w:t>
        </w:r>
      </w:hyperlink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609     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shall include a moderate income housing element that meets the requirements of Subsection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610     </w:t>
      </w:r>
      <w:hyperlink r:id="rId5" w:anchor="10-9a-403" w:history="1">
        <w:r w:rsidRPr="00EC6CF2">
          <w:rPr>
            <w:rFonts w:ascii="Arial" w:eastAsia="Times New Roman" w:hAnsi="Arial" w:cs="Arial"/>
            <w:color w:val="184477"/>
            <w:u w:val="single"/>
          </w:rPr>
          <w:t>10-9a-403</w:t>
        </w:r>
      </w:hyperlink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(2)(a)(iii).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611          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(b) On or before October 1, 2022, a specified municipality, as defined in Section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612     </w:t>
      </w:r>
      <w:hyperlink r:id="rId6" w:anchor="10-9a-408" w:history="1">
        <w:r w:rsidRPr="00EC6CF2">
          <w:rPr>
            <w:rFonts w:ascii="Arial" w:eastAsia="Times New Roman" w:hAnsi="Arial" w:cs="Arial"/>
            <w:color w:val="184477"/>
            <w:u w:val="single"/>
          </w:rPr>
          <w:t>10-9a-408</w:t>
        </w:r>
      </w:hyperlink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 with a general plan that does not comply with Subsection (3)(a) shall amend the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613     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general plan to comply with Subsection (3)(a).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614          (4) Subject to Subsection </w:t>
      </w:r>
      <w:hyperlink r:id="rId7" w:anchor="10-9a-403" w:history="1">
        <w:r w:rsidRPr="00EC6CF2">
          <w:rPr>
            <w:rFonts w:ascii="Arial" w:eastAsia="Times New Roman" w:hAnsi="Arial" w:cs="Arial"/>
            <w:color w:val="184477"/>
            <w:u w:val="single"/>
            <w:shd w:val="clear" w:color="auto" w:fill="FFFFFF"/>
          </w:rPr>
          <w:t>10-9a-403</w:t>
        </w:r>
      </w:hyperlink>
      <w:r w:rsidRPr="00EC6CF2">
        <w:rPr>
          <w:rFonts w:ascii="Arial" w:eastAsia="Times New Roman" w:hAnsi="Arial" w:cs="Arial"/>
          <w:color w:val="000000"/>
          <w:shd w:val="clear" w:color="auto" w:fill="FFFFFF"/>
        </w:rPr>
        <w:t>(2), the municipality may determine the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615     comprehensiveness, extent, and format of the general plan.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616          Section 3. Section </w:t>
      </w:r>
      <w:r w:rsidRPr="00EC6CF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10-9a-403</w:t>
      </w:r>
      <w:bookmarkStart w:id="0" w:name="10-9a-403"/>
      <w:bookmarkEnd w:id="0"/>
      <w:r w:rsidRPr="00EC6CF2">
        <w:rPr>
          <w:rFonts w:ascii="Arial" w:eastAsia="Times New Roman" w:hAnsi="Arial" w:cs="Arial"/>
          <w:color w:val="000000"/>
          <w:shd w:val="clear" w:color="auto" w:fill="FFFFFF"/>
        </w:rPr>
        <w:t> is amended to read: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617          </w:t>
      </w:r>
      <w:r w:rsidRPr="00EC6CF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10-9a-403.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EC6CF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General plan preparation.</w:t>
      </w:r>
    </w:p>
    <w:p w14:paraId="368C2C0C" w14:textId="77777777" w:rsidR="00EC6CF2" w:rsidRPr="00EC6CF2" w:rsidRDefault="00AC78C8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Times New Roman" w:eastAsia="Times New Roman" w:hAnsi="Times New Roman" w:cs="Times New Roman"/>
          <w:noProof/>
        </w:rPr>
        <w:pict w14:anchorId="73F38E17">
          <v:rect id="_x0000_i1030" alt="" style="width:468pt;height:.05pt;mso-width-percent:0;mso-height-percent:0;mso-width-percent:0;mso-height-percent:0" o:hralign="center" o:hrstd="t" o:hrnoshade="t" o:hr="t" fillcolor="black" stroked="f"/>
        </w:pict>
      </w:r>
    </w:p>
    <w:p w14:paraId="3A82A4BF" w14:textId="77777777" w:rsidR="00EC6CF2" w:rsidRPr="00EC6CF2" w:rsidRDefault="00EC6CF2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618          (1) (a) The planning commission shall provide notice, as provided in Section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619     </w:t>
      </w:r>
      <w:hyperlink r:id="rId8" w:history="1">
        <w:r w:rsidRPr="00EC6CF2">
          <w:rPr>
            <w:rFonts w:ascii="Arial" w:eastAsia="Times New Roman" w:hAnsi="Arial" w:cs="Arial"/>
            <w:color w:val="184477"/>
            <w:u w:val="single"/>
            <w:shd w:val="clear" w:color="auto" w:fill="FFFFFF"/>
          </w:rPr>
          <w:t>10-9a-203</w:t>
        </w:r>
      </w:hyperlink>
      <w:r w:rsidRPr="00EC6CF2">
        <w:rPr>
          <w:rFonts w:ascii="Arial" w:eastAsia="Times New Roman" w:hAnsi="Arial" w:cs="Arial"/>
          <w:color w:val="000000"/>
          <w:shd w:val="clear" w:color="auto" w:fill="FFFFFF"/>
        </w:rPr>
        <w:t>, of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its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the planning commission's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intent to make a recommendation to the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620     municipal legislative body for a general plan or a comprehensive general plan amendment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621     when the planning commission initiates the process of preparing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its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the planning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622     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commission's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recommendation.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623          (b) The planning commission shall make and recommend to the legislative body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624     proposed general plan for the area within the municipality.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625          (c) The plan may include areas outside the boundaries of the municipality if, in the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626     planning commission's judgment, those areas are related to the planning of the municipality's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627     territory.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628          (d) Except as otherwise provided by law or with respect to a municipality's power of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629     eminent domain, when the plan of a municipality involves territory outside the boundaries of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630     the municipality, the municipality may not take action affecting that territory without the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631     concurrence of the county or other municipalities affected.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632          (2) (a) At a minimum, the proposed general plan, with the accompanying maps, charts,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633     and descriptive and explanatory matter, shall include the planning commission's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634     recommendations for the following plan elements: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635          (</w:t>
      </w:r>
      <w:proofErr w:type="spellStart"/>
      <w:r w:rsidRPr="00EC6CF2">
        <w:rPr>
          <w:rFonts w:ascii="Arial" w:eastAsia="Times New Roman" w:hAnsi="Arial" w:cs="Arial"/>
          <w:color w:val="000000"/>
          <w:shd w:val="clear" w:color="auto" w:fill="FFFFFF"/>
        </w:rPr>
        <w:t>i</w:t>
      </w:r>
      <w:proofErr w:type="spellEnd"/>
      <w:r w:rsidRPr="00EC6CF2">
        <w:rPr>
          <w:rFonts w:ascii="Arial" w:eastAsia="Times New Roman" w:hAnsi="Arial" w:cs="Arial"/>
          <w:color w:val="000000"/>
          <w:shd w:val="clear" w:color="auto" w:fill="FFFFFF"/>
        </w:rPr>
        <w:t>) a land use element that: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636          (A) designates the long-term goals and the proposed extent, general distribution,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637     location of land for housing for residents of various income levels, business, industry,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638     agriculture, recreation, education, public buildings and grounds, open space, and other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639     categories of public and private uses of land as appropriate;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640          (B)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may include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includes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a statement of the projections for and standards of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641     population density and building intensity recommended for the various land use categories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642     covered by the plan;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643          (ii) a transportation and traffic circulation element that: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644          (A) provides the general location and extent of existing and proposed freeways, arterial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645     and collector streets, public transit, active transportation facilities, and other modes of</w:t>
      </w:r>
    </w:p>
    <w:p w14:paraId="40F70BCD" w14:textId="77777777" w:rsidR="00EC6CF2" w:rsidRPr="00EC6CF2" w:rsidRDefault="00AC78C8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Times New Roman" w:eastAsia="Times New Roman" w:hAnsi="Times New Roman" w:cs="Times New Roman"/>
          <w:noProof/>
        </w:rPr>
        <w:pict w14:anchorId="619EF693"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14:paraId="608C9E33" w14:textId="77777777" w:rsidR="00EC6CF2" w:rsidRPr="00EC6CF2" w:rsidRDefault="00EC6CF2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646     transportation that the planning commission considers appropriate;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647          (B) for a municipality that has access to a major transit investment corridor, addresses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648     the municipality's plan for residential and commercial development around major transit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649     investment corridors to maintain and improve the connections between housing, employment,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650     education, recreation, and commerce;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651          (C) for a municipality that does not have access to a major transit investment corridor,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652     addresses the municipality's plan for residential and commercial development in areas that will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653     maintain and improve the connections between housing, transportation, employment,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654     education, recreation, and commerce;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655          (D) correlates with the population projections, the employment projections, and the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656     proposed land use element of the general plan;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657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(iii) for a municipality described in Subsection </w:t>
      </w:r>
      <w:hyperlink r:id="rId9" w:anchor="10-9a-401" w:history="1">
        <w:r w:rsidRPr="00EC6CF2">
          <w:rPr>
            <w:rFonts w:ascii="Arial" w:eastAsia="Times New Roman" w:hAnsi="Arial" w:cs="Arial"/>
            <w:color w:val="184477"/>
            <w:u w:val="single"/>
          </w:rPr>
          <w:t>10-9a-401</w:t>
        </w:r>
      </w:hyperlink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(3)(b), a plan that provides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658     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realistic opportunity to meet the need for additional moderate income housing.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659          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(iii) for a specified municipality as defined in Section </w:t>
      </w:r>
      <w:hyperlink r:id="rId10" w:anchor="10-9a-408" w:history="1">
        <w:r w:rsidRPr="00EC6CF2">
          <w:rPr>
            <w:rFonts w:ascii="Arial" w:eastAsia="Times New Roman" w:hAnsi="Arial" w:cs="Arial"/>
            <w:color w:val="184477"/>
            <w:u w:val="single"/>
          </w:rPr>
          <w:t>10-9a-408</w:t>
        </w:r>
      </w:hyperlink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 a moderate income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660     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housing element that: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661          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(A) provides a realistic opportunity to meet the need for additional moderate income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662     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housing within the next five years;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663          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(B) selects three or more moderate income housing strategies described in Subsection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664     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(2)(b)(iii) for implementation, including one additional moderate income housing strategy as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665     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provided in Subsection (2)(b)(iv) for a specified municipality that has a fixed guideway public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666     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transit station;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667          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(C) includes an implementation plan as provided in Subsection (2)(c).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668          (b) In drafting the moderate income housing element, the planning commission: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669          (</w:t>
      </w:r>
      <w:proofErr w:type="spellStart"/>
      <w:r w:rsidRPr="00EC6CF2">
        <w:rPr>
          <w:rFonts w:ascii="Arial" w:eastAsia="Times New Roman" w:hAnsi="Arial" w:cs="Arial"/>
          <w:color w:val="000000"/>
          <w:shd w:val="clear" w:color="auto" w:fill="FFFFFF"/>
        </w:rPr>
        <w:t>i</w:t>
      </w:r>
      <w:proofErr w:type="spellEnd"/>
      <w:r w:rsidRPr="00EC6CF2">
        <w:rPr>
          <w:rFonts w:ascii="Arial" w:eastAsia="Times New Roman" w:hAnsi="Arial" w:cs="Arial"/>
          <w:color w:val="000000"/>
          <w:shd w:val="clear" w:color="auto" w:fill="FFFFFF"/>
        </w:rPr>
        <w:t>) shall consider the Legislature's determination that municipalities shall facilitate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670     reasonable opportunity for a variety of housing, including moderate income housing: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671          (A) to meet the needs of people of various income levels living, working, or desiring to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672     live or work in the community;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673          (B) to allow people with various incomes to benefit from and fully participate in all</w:t>
      </w:r>
    </w:p>
    <w:p w14:paraId="0D9DE57E" w14:textId="77777777" w:rsidR="00EC6CF2" w:rsidRPr="00EC6CF2" w:rsidRDefault="00AC78C8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Times New Roman" w:eastAsia="Times New Roman" w:hAnsi="Times New Roman" w:cs="Times New Roman"/>
          <w:noProof/>
        </w:rPr>
        <w:pict w14:anchorId="2A6646BC"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14:paraId="7D79D9E1" w14:textId="77777777" w:rsidR="00EC6CF2" w:rsidRPr="00EC6CF2" w:rsidRDefault="00EC6CF2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674     aspects of neighborhood and community life;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675          (ii) for a town, may include, and for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other municipalities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a specified municipality as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676     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defined in Section </w:t>
      </w:r>
      <w:hyperlink r:id="rId11" w:anchor="10-9a-408" w:history="1">
        <w:r w:rsidRPr="00EC6CF2">
          <w:rPr>
            <w:rFonts w:ascii="Arial" w:eastAsia="Times New Roman" w:hAnsi="Arial" w:cs="Arial"/>
            <w:color w:val="184477"/>
            <w:u w:val="single"/>
          </w:rPr>
          <w:t>10-9a-408</w:t>
        </w:r>
      </w:hyperlink>
      <w:r w:rsidRPr="00EC6CF2">
        <w:rPr>
          <w:rFonts w:ascii="Arial" w:eastAsia="Times New Roman" w:hAnsi="Arial" w:cs="Arial"/>
          <w:color w:val="000000"/>
          <w:shd w:val="clear" w:color="auto" w:fill="FFFFFF"/>
        </w:rPr>
        <w:t>, shall include, an analysis of how the municipality will provide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677     realistic opportunity for the development of moderate income housing within the next five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678     years;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679          (iii) for a town, may include, and for other municipalities, shall include,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680     recommendation to implement three or more of the following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moderate income housing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681     strategies: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682          (A) rezone for densities necessary to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assure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facilitate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the production of moderate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683     income housing;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684          (B)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facilitate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demonstrate investment in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the rehabilitation or expansion of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685     infrastructure that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will encourage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facilitates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the construction of moderate income housing;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686          (C)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facilitate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demonstrate investment in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the rehabilitation of existing uninhabitable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687     housing stock into moderate income housing;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688          (D)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consider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identify and utilize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general fund subsidies or other sources of revenue to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689     waive construction related fees that are otherwise generally imposed by the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city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municipality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690     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for the construction or rehabilitation of moderate income housing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691          (E) create or allow for, and reduce regulations related to,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internal or detached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accessory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692     dwelling units in residential zones;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693          (F)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allow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zone or rezone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for higher density or moderate income residential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694     development in commercial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and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or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mixed-use zones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near major transit investment corridors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695     commercial centers, or employment centers;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696          (G)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encourage higher density or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amend land use regulations to allow for higher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697     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density or new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moderate income residential development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in commercial or mixed-use zones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698     near major transit investment corridors;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699          (H)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amend land use regulations to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eliminate or reduce parking requirements for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 xml:space="preserve">700     residential development where a resident is less likely to rely on the </w:t>
      </w:r>
      <w:proofErr w:type="spellStart"/>
      <w:r w:rsidRPr="00EC6CF2">
        <w:rPr>
          <w:rFonts w:ascii="Arial" w:eastAsia="Times New Roman" w:hAnsi="Arial" w:cs="Arial"/>
          <w:color w:val="000000"/>
          <w:shd w:val="clear" w:color="auto" w:fill="FFFFFF"/>
        </w:rPr>
        <w:t>resident's</w:t>
      </w:r>
      <w:proofErr w:type="spellEnd"/>
      <w:r w:rsidRPr="00EC6CF2">
        <w:rPr>
          <w:rFonts w:ascii="Arial" w:eastAsia="Times New Roman" w:hAnsi="Arial" w:cs="Arial"/>
          <w:color w:val="000000"/>
          <w:shd w:val="clear" w:color="auto" w:fill="FFFFFF"/>
        </w:rPr>
        <w:t xml:space="preserve"> own vehicle,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701     such as residential development near major transit investment corridors or senior living</w:t>
      </w:r>
    </w:p>
    <w:p w14:paraId="46A8750A" w14:textId="77777777" w:rsidR="00EC6CF2" w:rsidRPr="00EC6CF2" w:rsidRDefault="00AC78C8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Times New Roman" w:eastAsia="Times New Roman" w:hAnsi="Times New Roman" w:cs="Times New Roman"/>
          <w:noProof/>
        </w:rPr>
        <w:pict w14:anchorId="30B47244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479ED47A" w14:textId="77777777" w:rsidR="00EC6CF2" w:rsidRPr="00EC6CF2" w:rsidRDefault="00EC6CF2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Arial" w:eastAsia="Times New Roman" w:hAnsi="Arial" w:cs="Arial"/>
          <w:color w:val="000000"/>
          <w:shd w:val="clear" w:color="auto" w:fill="FFFFFF"/>
        </w:rPr>
        <w:t>702     facilities;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703          (I)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amend land use regulations to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allow for single room occupancy developments;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704          (J) implement zoning incentives for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low to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 moderate income units in new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705     developments;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706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(K) utilize strategies that preserve subsidized low to moderate income units on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707     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long-term basis;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708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(L)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(K)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preserve existing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and new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moderate income housing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and subsidized units by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709     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utilizing a landlord incentive program, providing for deed restricted units through a grant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710     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program, or establishing a housing loss mitigation fund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711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(M)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(L)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reduce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 waive, or eliminate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impact fees[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, as defined in Section </w:t>
      </w:r>
      <w:hyperlink r:id="rId12" w:history="1">
        <w:r w:rsidRPr="00EC6CF2">
          <w:rPr>
            <w:rFonts w:ascii="Arial" w:eastAsia="Times New Roman" w:hAnsi="Arial" w:cs="Arial"/>
            <w:color w:val="184477"/>
            <w:u w:val="single"/>
          </w:rPr>
          <w:t>11-36a-102</w:t>
        </w:r>
      </w:hyperlink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,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712     related to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low and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 moderate income housing;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713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(N) participate in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(M) demonstrate creation of, or participation in,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a community land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714     trust program for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low or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 moderate income housing;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715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(O)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(N)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implement a mortgage assistance program for employees of the municipality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716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or of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an employer that provides contracted services to the municipality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 or any other public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717     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employer that operates within the municipality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718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(P)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(O)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apply for or partner with an entity that applies for state or federal funds or tax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719     incentives to promote the construction of moderate income housing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 an entity that applies for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720     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programs offered by the Utah Housing Corporation within that agency's funding capacity, an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721     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entity that applies for affordable housing programs administered by the Department of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722     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Workforce Services, an entity that applies for affordable housing programs administered by an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723     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association of governments established by an interlocal agreement under Title 11, Chapter 13,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724     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Interlocal Cooperation Act, an entity that applies for services provided by a public housing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725     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authority to preserve and create moderate income housing, or any other entity that applies for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726     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programs or services that promote the construction or preservation of moderate income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727     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housing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728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(Q) apply for or partner with an entity that applies for programs offered by the Utah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729     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Housing Corporation within that agency's funding capacity;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</w:p>
    <w:p w14:paraId="334A2FFA" w14:textId="77777777" w:rsidR="00EC6CF2" w:rsidRPr="00EC6CF2" w:rsidRDefault="00AC78C8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Times New Roman" w:eastAsia="Times New Roman" w:hAnsi="Times New Roman" w:cs="Times New Roman"/>
          <w:noProof/>
        </w:rPr>
        <w:pict w14:anchorId="1590579F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401F53A0" w14:textId="77777777" w:rsidR="00EC6CF2" w:rsidRPr="00EC6CF2" w:rsidRDefault="00EC6CF2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730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(R) apply for or partner with an entity that applies for affordable housing programs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731     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administered by the Department of Workforce Services;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732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(S) apply for or partner with an entity that applies for programs administered by an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733     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association of governments established by an interlocal agreement under Title 11, Chapter 13,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734     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Interlocal Cooperation Act;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735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(T) apply for or partner with an entity that applies for services provided by a public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736     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housing authority to preserve and create moderate income housing;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737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(U) apply for or partner with an entity that applies for programs administered by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738     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metropolitan planning organization or other transportation agency that provides technical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739     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planning assistance;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740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(V) utilize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(P) demonstrate utilization of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a moderate income housing set aside from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741     community reinvestment agency, redevelopment agency, or community development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742     renewal agency[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; and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to create or subsidize moderate income housing;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743          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(Q) create a housing and transit reinvestment zone pursuant to Title 63N, Chapter 3,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744     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Part 6, Housing and Transit Reinvestment Zone Act;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745          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(R) eliminate impact fees for any accessory dwelling unit that is not an internal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746     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accessory dwelling unit as defined in Section </w:t>
      </w:r>
      <w:hyperlink r:id="rId13" w:history="1">
        <w:r w:rsidRPr="00EC6CF2">
          <w:rPr>
            <w:rFonts w:ascii="Arial" w:eastAsia="Times New Roman" w:hAnsi="Arial" w:cs="Arial"/>
            <w:color w:val="184477"/>
            <w:u w:val="single"/>
          </w:rPr>
          <w:t>10-9a-530</w:t>
        </w:r>
      </w:hyperlink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747          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(S) create a program to transfer development rights for moderate income housing;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748          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(T) ratify a joint acquisition agreement with another local political subdivision for the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749     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purpose of combining resources to acquire property for moderate income housing;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750          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(U) develop a moderate income housing project for residents who are disabled or 55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751     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years old or older;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752          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(V) develop and adopt a station area plan in accordance with Section </w:t>
      </w:r>
      <w:hyperlink r:id="rId14" w:anchor="10-9a-403.1" w:history="1">
        <w:r w:rsidRPr="00EC6CF2">
          <w:rPr>
            <w:rFonts w:ascii="Arial" w:eastAsia="Times New Roman" w:hAnsi="Arial" w:cs="Arial"/>
            <w:color w:val="184477"/>
            <w:u w:val="single"/>
          </w:rPr>
          <w:t>10-9a-403.1</w:t>
        </w:r>
      </w:hyperlink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753          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(W) create or allow for, and reduce regulations related to, multifamily residential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754     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dwellings compatible in scale and form with detached single-family residential dwellings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755     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located in walkable communities within residential or mixed-use zones;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756          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(W)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(X) demonstrate implementation of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any other program or strategy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implemented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757     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by the municipality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 to address the housing needs of residents of the municipality who earn less</w:t>
      </w:r>
    </w:p>
    <w:p w14:paraId="0CD7F7BF" w14:textId="77777777" w:rsidR="00EC6CF2" w:rsidRPr="00EC6CF2" w:rsidRDefault="00AC78C8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Times New Roman" w:eastAsia="Times New Roman" w:hAnsi="Times New Roman" w:cs="Times New Roman"/>
          <w:noProof/>
        </w:rPr>
        <w:pict w14:anchorId="5D7E3C16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54480CF6" w14:textId="77777777" w:rsidR="00EC6CF2" w:rsidRPr="00EC6CF2" w:rsidRDefault="00EC6CF2" w:rsidP="00EC6CF2">
      <w:pPr>
        <w:rPr>
          <w:rFonts w:ascii="Times New Roman" w:eastAsia="Times New Roman" w:hAnsi="Times New Roman" w:cs="Times New Roman"/>
        </w:rPr>
      </w:pPr>
      <w:r w:rsidRPr="00EC6CF2">
        <w:rPr>
          <w:rFonts w:ascii="Arial" w:eastAsia="Times New Roman" w:hAnsi="Arial" w:cs="Arial"/>
          <w:color w:val="000000"/>
          <w:shd w:val="clear" w:color="auto" w:fill="FFFFFF"/>
        </w:rPr>
        <w:t>758     than 80% of the area median income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 including the dedication of a local funding source to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759     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moderate income housing or the adoption of a land use ordinance that requires 10% or more of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760     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new residential development in a residential zone be dedicated to moderate income housing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;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761     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762          (iv) in addition to the recommendations required under Subsection (2)(b)(iii), for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763     municipality that has a fixed guideway public transit station, shall include a recommendation to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764     implement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the strategies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765          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(A) the strategy described in Subsection (2)(b)(iii)(V);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766          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(B) a strategy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described in Subsection (2)(b)(iii)(G) [</w:t>
      </w:r>
      <w:r w:rsidRPr="00EC6CF2">
        <w:rPr>
          <w:rFonts w:ascii="Arial" w:eastAsia="Times New Roman" w:hAnsi="Arial" w:cs="Arial"/>
          <w:strike/>
          <w:color w:val="000000"/>
          <w:shd w:val="clear" w:color="auto" w:fill="FFFFFF"/>
        </w:rPr>
        <w:t>or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]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 (H)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, or (Q)</w:t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767          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(c) (</w:t>
      </w:r>
      <w:proofErr w:type="spellStart"/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i</w:t>
      </w:r>
      <w:proofErr w:type="spellEnd"/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) In drafting the implementation plan portion of the moderate income housing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768     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element as described in Subsection (2)(a)(iii)(C), the planning commission shall establish a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769     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timeline for implementing each of the moderate income housing strategies selected by the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770     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municipality for implementation.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771          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(ii) The timeline described in Subsection (2)(c)(</w:t>
      </w:r>
      <w:proofErr w:type="spellStart"/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i</w:t>
      </w:r>
      <w:proofErr w:type="spellEnd"/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) shall: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772          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(A) identify specific measures and benchmarks for implementing each moderate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773     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income housing strategy selected by the municipality, whether one-time or ongoing; and</w:t>
      </w:r>
      <w:r w:rsidRPr="00EC6CF2">
        <w:rPr>
          <w:rFonts w:ascii="Arial" w:eastAsia="Times New Roman" w:hAnsi="Arial" w:cs="Arial"/>
          <w:color w:val="000000"/>
        </w:rPr>
        <w:br/>
      </w:r>
      <w:r w:rsidRPr="00EC6CF2">
        <w:rPr>
          <w:rFonts w:ascii="Arial" w:eastAsia="Times New Roman" w:hAnsi="Arial" w:cs="Arial"/>
          <w:color w:val="000000"/>
          <w:shd w:val="clear" w:color="auto" w:fill="FFFFFF"/>
        </w:rPr>
        <w:t>774          </w:t>
      </w:r>
      <w:r w:rsidRPr="00EC6CF2">
        <w:rPr>
          <w:rFonts w:ascii="Arial" w:eastAsia="Times New Roman" w:hAnsi="Arial" w:cs="Arial"/>
          <w:color w:val="000000"/>
          <w:u w:val="single"/>
          <w:shd w:val="clear" w:color="auto" w:fill="FFFFFF"/>
        </w:rPr>
        <w:t>(B) provide flexibility for the municipality to make adjustments as needed.</w:t>
      </w:r>
    </w:p>
    <w:p w14:paraId="61E4CC6B" w14:textId="77777777" w:rsidR="002C47FA" w:rsidRDefault="002C47FA"/>
    <w:sectPr w:rsidR="002C47FA" w:rsidSect="00EC6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F2"/>
    <w:rsid w:val="00014C0E"/>
    <w:rsid w:val="00062405"/>
    <w:rsid w:val="000E213F"/>
    <w:rsid w:val="000E3738"/>
    <w:rsid w:val="000E67B8"/>
    <w:rsid w:val="000F01A5"/>
    <w:rsid w:val="001432E5"/>
    <w:rsid w:val="001834E2"/>
    <w:rsid w:val="001A55BB"/>
    <w:rsid w:val="001D2968"/>
    <w:rsid w:val="002570A0"/>
    <w:rsid w:val="00292BBC"/>
    <w:rsid w:val="002B2702"/>
    <w:rsid w:val="002C47FA"/>
    <w:rsid w:val="002D77E2"/>
    <w:rsid w:val="002F4638"/>
    <w:rsid w:val="003455DA"/>
    <w:rsid w:val="00371F4C"/>
    <w:rsid w:val="003865AC"/>
    <w:rsid w:val="003952E0"/>
    <w:rsid w:val="003A6F6E"/>
    <w:rsid w:val="003C6C86"/>
    <w:rsid w:val="003C7157"/>
    <w:rsid w:val="00431334"/>
    <w:rsid w:val="004412F6"/>
    <w:rsid w:val="0049200D"/>
    <w:rsid w:val="00580576"/>
    <w:rsid w:val="005A2111"/>
    <w:rsid w:val="00670110"/>
    <w:rsid w:val="006E383B"/>
    <w:rsid w:val="006E63C8"/>
    <w:rsid w:val="007E03E8"/>
    <w:rsid w:val="00856C5D"/>
    <w:rsid w:val="009056E2"/>
    <w:rsid w:val="0090686E"/>
    <w:rsid w:val="009B5666"/>
    <w:rsid w:val="009F67AC"/>
    <w:rsid w:val="00AC1E3A"/>
    <w:rsid w:val="00AC78C8"/>
    <w:rsid w:val="00B049B0"/>
    <w:rsid w:val="00B05151"/>
    <w:rsid w:val="00B22A9B"/>
    <w:rsid w:val="00BE3132"/>
    <w:rsid w:val="00BF07EE"/>
    <w:rsid w:val="00C03FB2"/>
    <w:rsid w:val="00C41990"/>
    <w:rsid w:val="00C85920"/>
    <w:rsid w:val="00E721A6"/>
    <w:rsid w:val="00EA4035"/>
    <w:rsid w:val="00EB4A73"/>
    <w:rsid w:val="00EC6CF2"/>
    <w:rsid w:val="00F06542"/>
    <w:rsid w:val="00F45C05"/>
    <w:rsid w:val="00F64A19"/>
    <w:rsid w:val="00F81521"/>
    <w:rsid w:val="00FC3DAF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74AA"/>
  <w15:chartTrackingRefBased/>
  <w15:docId w15:val="{47C8AB0E-9795-DB41-82F4-31ADCB2D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.utah.gov/UtahCode/SectionLookup.jsp?section=10-9a-203&amp;session=2022GS" TargetMode="External"/><Relationship Id="rId13" Type="http://schemas.openxmlformats.org/officeDocument/2006/relationships/hyperlink" Target="http://le.utah.gov/UtahCode/SectionLookup.jsp?section=10-9a-530&amp;session=2022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.utah.gov/~2022/bills/static/HB0462.html" TargetMode="External"/><Relationship Id="rId12" Type="http://schemas.openxmlformats.org/officeDocument/2006/relationships/hyperlink" Target="http://le.utah.gov/UtahCode/SectionLookup.jsp?section=11-36a-102&amp;session=2022G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.utah.gov/~2022/bills/static/HB0462.html" TargetMode="External"/><Relationship Id="rId11" Type="http://schemas.openxmlformats.org/officeDocument/2006/relationships/hyperlink" Target="https://le.utah.gov/~2022/bills/static/HB0462.html" TargetMode="External"/><Relationship Id="rId5" Type="http://schemas.openxmlformats.org/officeDocument/2006/relationships/hyperlink" Target="https://le.utah.gov/~2022/bills/static/HB046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.utah.gov/~2022/bills/static/HB0462.html" TargetMode="External"/><Relationship Id="rId4" Type="http://schemas.openxmlformats.org/officeDocument/2006/relationships/hyperlink" Target="https://le.utah.gov/~2022/bills/static/HB0462.html" TargetMode="External"/><Relationship Id="rId9" Type="http://schemas.openxmlformats.org/officeDocument/2006/relationships/hyperlink" Target="https://le.utah.gov/~2022/bills/static/HB0462.html" TargetMode="External"/><Relationship Id="rId14" Type="http://schemas.openxmlformats.org/officeDocument/2006/relationships/hyperlink" Target="https://le.utah.gov/~2022/bills/static/HB04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 Short</dc:creator>
  <cp:keywords/>
  <dc:description/>
  <cp:lastModifiedBy>Judith P Short</cp:lastModifiedBy>
  <cp:revision>1</cp:revision>
  <cp:lastPrinted>2022-07-25T21:48:00Z</cp:lastPrinted>
  <dcterms:created xsi:type="dcterms:W3CDTF">2022-07-25T21:47:00Z</dcterms:created>
  <dcterms:modified xsi:type="dcterms:W3CDTF">2022-07-25T21:49:00Z</dcterms:modified>
</cp:coreProperties>
</file>